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36"/>
          <w:lang w:val="en-US" w:eastAsia="zh-CN"/>
        </w:rPr>
      </w:pPr>
      <w:r>
        <w:rPr>
          <w:rFonts w:hint="eastAsia"/>
          <w:sz w:val="28"/>
          <w:szCs w:val="36"/>
          <w:lang w:val="en-US" w:eastAsia="zh-CN"/>
        </w:rPr>
        <w:t>附件一 ：电子资源系列培训讲座</w:t>
      </w:r>
    </w:p>
    <w:p>
      <w:pPr>
        <w:tabs>
          <w:tab w:val="left" w:pos="1243"/>
        </w:tabs>
        <w:spacing w:line="360" w:lineRule="auto"/>
        <w:ind w:firstLine="482" w:firstLineChars="200"/>
        <w:rPr>
          <w:rFonts w:hint="eastAsia" w:ascii="仿宋" w:hAnsi="仿宋" w:eastAsia="仿宋" w:cs="仿宋"/>
          <w:b/>
          <w:bCs/>
          <w:color w:val="C00000"/>
          <w:sz w:val="24"/>
          <w:lang w:val="en-US" w:eastAsia="zh-CN"/>
        </w:rPr>
      </w:pPr>
      <w:r>
        <w:rPr>
          <w:rFonts w:hint="eastAsia" w:ascii="仿宋" w:hAnsi="仿宋" w:eastAsia="仿宋" w:cs="仿宋"/>
          <w:b/>
          <w:bCs/>
          <w:color w:val="C00000"/>
          <w:sz w:val="24"/>
          <w:lang w:val="en-US" w:eastAsia="zh-CN"/>
        </w:rPr>
        <w:t>讲座一、AMS MathSciNet</w:t>
      </w:r>
    </w:p>
    <w:p>
      <w:pPr>
        <w:tabs>
          <w:tab w:val="left" w:pos="1243"/>
        </w:tabs>
        <w:spacing w:line="360" w:lineRule="auto"/>
        <w:ind w:firstLine="482" w:firstLineChars="200"/>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主题：数学及交叉学科基础研究工具——助力科研文献检索</w:t>
      </w:r>
    </w:p>
    <w:p>
      <w:pPr>
        <w:tabs>
          <w:tab w:val="left" w:pos="1243"/>
        </w:tabs>
        <w:spacing w:line="360" w:lineRule="auto"/>
        <w:ind w:firstLine="482" w:firstLineChars="200"/>
        <w:rPr>
          <w:rFonts w:hint="eastAsia"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时间：4月10日下午</w:t>
      </w:r>
      <w:r>
        <w:rPr>
          <w:rFonts w:hint="eastAsia" w:ascii="仿宋" w:hAnsi="仿宋" w:eastAsia="仿宋" w:cs="仿宋"/>
          <w:b/>
          <w:bCs/>
          <w:color w:val="000000" w:themeColor="text1"/>
          <w:sz w:val="24"/>
          <w14:textFill>
            <w14:solidFill>
              <w14:schemeClr w14:val="tx1"/>
            </w14:solidFill>
          </w14:textFill>
        </w:rPr>
        <w:t>2:30-3:15</w:t>
      </w:r>
    </w:p>
    <w:p>
      <w:pPr>
        <w:tabs>
          <w:tab w:val="left" w:pos="1243"/>
        </w:tabs>
        <w:spacing w:line="360" w:lineRule="auto"/>
        <w:ind w:firstLine="482" w:firstLineChars="200"/>
        <w:rPr>
          <w:rFonts w:hint="default"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方式：</w:t>
      </w:r>
      <w:r>
        <w:rPr>
          <w:rFonts w:hint="eastAsia" w:ascii="仿宋" w:hAnsi="仿宋" w:eastAsia="仿宋" w:cs="仿宋"/>
          <w:b w:val="0"/>
          <w:bCs w:val="0"/>
          <w:color w:val="000000" w:themeColor="text1"/>
          <w:sz w:val="24"/>
          <w:lang w:val="en-US" w:eastAsia="zh-CN"/>
          <w14:textFill>
            <w14:solidFill>
              <w14:schemeClr w14:val="tx1"/>
            </w14:solidFill>
          </w14:textFill>
        </w:rPr>
        <w:t>线上培训</w:t>
      </w:r>
    </w:p>
    <w:p>
      <w:pPr>
        <w:tabs>
          <w:tab w:val="left" w:pos="1243"/>
        </w:tabs>
        <w:spacing w:line="360" w:lineRule="auto"/>
        <w:ind w:firstLine="482"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主讲人：</w:t>
      </w:r>
      <w:r>
        <w:rPr>
          <w:rFonts w:hint="eastAsia" w:ascii="仿宋" w:hAnsi="仿宋" w:eastAsia="仿宋" w:cs="仿宋"/>
          <w:b w:val="0"/>
          <w:bCs w:val="0"/>
          <w:color w:val="000000" w:themeColor="text1"/>
          <w:sz w:val="24"/>
          <w14:textFill>
            <w14:solidFill>
              <w14:schemeClr w14:val="tx1"/>
            </w14:solidFill>
          </w14:textFill>
        </w:rPr>
        <w:t>陈正良/任德鑫，中国教育图书进出口有限公司AMS产品经理</w:t>
      </w:r>
    </w:p>
    <w:p>
      <w:pPr>
        <w:tabs>
          <w:tab w:val="left" w:pos="1243"/>
        </w:tabs>
        <w:spacing w:line="360" w:lineRule="auto"/>
        <w:ind w:firstLine="482" w:firstLineChars="200"/>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内容简介：</w:t>
      </w:r>
    </w:p>
    <w:p>
      <w:pPr>
        <w:tabs>
          <w:tab w:val="left" w:pos="1243"/>
        </w:tabs>
        <w:spacing w:line="360" w:lineRule="auto"/>
        <w:ind w:firstLine="480" w:firstLineChars="200"/>
        <w:rPr>
          <w:rFonts w:hint="eastAsia" w:ascii="仿宋" w:hAnsi="仿宋" w:eastAsia="仿宋" w:cs="仿宋"/>
          <w:sz w:val="24"/>
        </w:rPr>
      </w:pPr>
      <w:r>
        <w:rPr>
          <w:rFonts w:hint="eastAsia" w:ascii="仿宋" w:hAnsi="仿宋" w:eastAsia="仿宋" w:cs="仿宋"/>
          <w:sz w:val="24"/>
        </w:rPr>
        <w:t>1、了解数学各分支，找到自己关注的领域；</w:t>
      </w:r>
    </w:p>
    <w:p>
      <w:pPr>
        <w:tabs>
          <w:tab w:val="left" w:pos="1243"/>
        </w:tabs>
        <w:spacing w:line="360" w:lineRule="auto"/>
        <w:ind w:firstLine="480" w:firstLineChars="200"/>
        <w:rPr>
          <w:rFonts w:hint="eastAsia" w:ascii="仿宋" w:hAnsi="仿宋" w:eastAsia="仿宋" w:cs="仿宋"/>
          <w:sz w:val="24"/>
        </w:rPr>
      </w:pPr>
      <w:r>
        <w:rPr>
          <w:rFonts w:hint="eastAsia" w:ascii="仿宋" w:hAnsi="仿宋" w:eastAsia="仿宋" w:cs="仿宋"/>
          <w:sz w:val="24"/>
        </w:rPr>
        <w:t>2、了解特定方向的经典文献、高水平学者以及高发文期刊、学者等；</w:t>
      </w:r>
    </w:p>
    <w:p>
      <w:pPr>
        <w:tabs>
          <w:tab w:val="left" w:pos="1243"/>
        </w:tabs>
        <w:spacing w:line="360" w:lineRule="auto"/>
        <w:ind w:firstLine="480" w:firstLineChars="200"/>
        <w:rPr>
          <w:rFonts w:hint="eastAsia" w:ascii="仿宋" w:hAnsi="仿宋" w:eastAsia="仿宋" w:cs="仿宋"/>
          <w:sz w:val="24"/>
        </w:rPr>
      </w:pPr>
      <w:r>
        <w:rPr>
          <w:rFonts w:hint="eastAsia" w:ascii="仿宋" w:hAnsi="仿宋" w:eastAsia="仿宋" w:cs="仿宋"/>
          <w:sz w:val="24"/>
        </w:rPr>
        <w:t>3、了解数学及交叉领域的热门研究方向；</w:t>
      </w:r>
    </w:p>
    <w:p>
      <w:pPr>
        <w:tabs>
          <w:tab w:val="left" w:pos="1243"/>
        </w:tabs>
        <w:spacing w:line="360" w:lineRule="auto"/>
        <w:ind w:firstLine="480" w:firstLineChars="200"/>
        <w:rPr>
          <w:rFonts w:hint="eastAsia" w:ascii="仿宋" w:hAnsi="仿宋" w:eastAsia="仿宋" w:cs="仿宋"/>
          <w:sz w:val="24"/>
        </w:rPr>
      </w:pPr>
      <w:r>
        <w:rPr>
          <w:rFonts w:hint="eastAsia" w:ascii="仿宋" w:hAnsi="仿宋" w:eastAsia="仿宋" w:cs="仿宋"/>
          <w:sz w:val="24"/>
        </w:rPr>
        <w:t>4、了解学者情况：发文情况、发文方向、合作者及师承关系等；</w:t>
      </w:r>
    </w:p>
    <w:p>
      <w:pPr>
        <w:tabs>
          <w:tab w:val="left" w:pos="1243"/>
        </w:tabs>
        <w:spacing w:line="360" w:lineRule="auto"/>
        <w:ind w:firstLine="480" w:firstLineChars="200"/>
        <w:rPr>
          <w:rFonts w:hint="eastAsia" w:ascii="仿宋" w:hAnsi="仿宋" w:eastAsia="仿宋" w:cs="仿宋"/>
          <w:sz w:val="24"/>
        </w:rPr>
      </w:pPr>
      <w:r>
        <w:rPr>
          <w:rFonts w:hint="eastAsia" w:ascii="仿宋" w:hAnsi="仿宋" w:eastAsia="仿宋" w:cs="仿宋"/>
          <w:sz w:val="24"/>
        </w:rPr>
        <w:t>5、了解期刊情况：哪些期刊发表较易，哪些期刊水平较高，以及特定期刊的收文情况、高发文作者。</w:t>
      </w:r>
    </w:p>
    <w:p>
      <w:pPr>
        <w:tabs>
          <w:tab w:val="left" w:pos="1243"/>
        </w:tabs>
        <w:spacing w:line="360" w:lineRule="auto"/>
        <w:ind w:firstLine="482" w:firstLineChars="200"/>
        <w:rPr>
          <w:rFonts w:hint="eastAsia"/>
          <w:sz w:val="24"/>
        </w:rPr>
      </w:pPr>
      <w:r>
        <w:rPr>
          <w:rFonts w:hint="eastAsia" w:ascii="仿宋" w:hAnsi="仿宋" w:eastAsia="仿宋" w:cs="仿宋"/>
          <w:b/>
          <w:bCs/>
          <w:color w:val="000000" w:themeColor="text1"/>
          <w:sz w:val="24"/>
          <w:lang w:val="en-US" w:eastAsia="zh-CN"/>
          <w14:textFill>
            <w14:solidFill>
              <w14:schemeClr w14:val="tx1"/>
            </w14:solidFill>
          </w14:textFill>
        </w:rPr>
        <w:t>参与方式：</w:t>
      </w:r>
      <w:r>
        <w:rPr>
          <w:rFonts w:hint="eastAsia" w:ascii="仿宋" w:hAnsi="仿宋" w:eastAsia="仿宋" w:cs="仿宋"/>
          <w:b w:val="0"/>
          <w:bCs w:val="0"/>
          <w:color w:val="000000" w:themeColor="text1"/>
          <w:sz w:val="24"/>
          <w:lang w:val="en-US" w:eastAsia="zh-CN"/>
          <w14:textFill>
            <w14:solidFill>
              <w14:schemeClr w14:val="tx1"/>
            </w14:solidFill>
          </w14:textFill>
        </w:rPr>
        <w:t>线上，腾讯会议</w:t>
      </w:r>
      <w:r>
        <w:rPr>
          <w:sz w:val="24"/>
        </w:rPr>
        <w:fldChar w:fldCharType="begin"/>
      </w:r>
      <w:r>
        <w:rPr>
          <w:sz w:val="24"/>
        </w:rPr>
        <w:instrText xml:space="preserve"> HYPERLINK "https://zhsnq.h5.xeknow.com/sl/1uoDE6" </w:instrText>
      </w:r>
      <w:r>
        <w:rPr>
          <w:sz w:val="24"/>
        </w:rPr>
        <w:fldChar w:fldCharType="separate"/>
      </w:r>
      <w:r>
        <w:rPr>
          <w:sz w:val="24"/>
        </w:rPr>
        <w:fldChar w:fldCharType="end"/>
      </w:r>
    </w:p>
    <w:p>
      <w:pPr>
        <w:tabs>
          <w:tab w:val="left" w:pos="1243"/>
        </w:tabs>
        <w:spacing w:line="360" w:lineRule="auto"/>
        <w:ind w:firstLine="480" w:firstLineChars="200"/>
        <w:jc w:val="center"/>
        <w:rPr>
          <w:rFonts w:ascii="宋体" w:hAnsi="宋体" w:eastAsia="宋体" w:cs="宋体"/>
          <w:sz w:val="24"/>
          <w:szCs w:val="24"/>
        </w:rPr>
      </w:pPr>
      <w:r>
        <w:rPr>
          <w:rFonts w:ascii="宋体" w:hAnsi="宋体" w:eastAsia="宋体" w:cs="宋体"/>
          <w:sz w:val="24"/>
          <w:szCs w:val="24"/>
        </w:rPr>
        <w:drawing>
          <wp:inline distT="0" distB="0" distL="114300" distR="114300">
            <wp:extent cx="1552575" cy="18764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52575" cy="1876425"/>
                    </a:xfrm>
                    <a:prstGeom prst="rect">
                      <a:avLst/>
                    </a:prstGeom>
                    <a:noFill/>
                    <a:ln w="9525">
                      <a:noFill/>
                    </a:ln>
                  </pic:spPr>
                </pic:pic>
              </a:graphicData>
            </a:graphic>
          </wp:inline>
        </w:drawing>
      </w:r>
    </w:p>
    <w:p>
      <w:pPr>
        <w:tabs>
          <w:tab w:val="left" w:pos="1243"/>
        </w:tabs>
        <w:spacing w:line="360" w:lineRule="auto"/>
        <w:ind w:firstLine="480" w:firstLineChars="200"/>
        <w:jc w:val="center"/>
        <w:rPr>
          <w:rFonts w:hint="eastAsia" w:ascii="仿宋" w:hAnsi="仿宋" w:eastAsia="仿宋" w:cs="仿宋"/>
          <w:sz w:val="24"/>
        </w:rPr>
      </w:pPr>
      <w:r>
        <w:rPr>
          <w:rFonts w:hint="eastAsia" w:ascii="仿宋" w:hAnsi="仿宋" w:eastAsia="仿宋" w:cs="仿宋"/>
          <w:sz w:val="24"/>
        </w:rPr>
        <w:t>腾讯会议：828-330-503</w:t>
      </w:r>
    </w:p>
    <w:p>
      <w:pPr>
        <w:tabs>
          <w:tab w:val="left" w:pos="1243"/>
        </w:tabs>
        <w:spacing w:line="360" w:lineRule="auto"/>
        <w:ind w:firstLine="480" w:firstLineChars="200"/>
        <w:jc w:val="center"/>
        <w:rPr>
          <w:rFonts w:ascii="宋体" w:hAnsi="宋体" w:eastAsia="宋体" w:cs="宋体"/>
          <w:sz w:val="24"/>
          <w:szCs w:val="24"/>
        </w:rPr>
      </w:pPr>
    </w:p>
    <w:p>
      <w:pPr>
        <w:tabs>
          <w:tab w:val="left" w:pos="1243"/>
        </w:tabs>
        <w:spacing w:line="360" w:lineRule="auto"/>
        <w:ind w:firstLine="480" w:firstLineChars="200"/>
        <w:jc w:val="center"/>
        <w:rPr>
          <w:rFonts w:hint="eastAsia" w:ascii="宋体" w:hAnsi="宋体" w:eastAsia="宋体" w:cs="宋体"/>
          <w:sz w:val="24"/>
          <w:szCs w:val="24"/>
          <w:lang w:val="en-US" w:eastAsia="zh-CN"/>
        </w:rPr>
      </w:pPr>
    </w:p>
    <w:p>
      <w:pPr>
        <w:tabs>
          <w:tab w:val="left" w:pos="1243"/>
        </w:tabs>
        <w:spacing w:line="360" w:lineRule="auto"/>
        <w:ind w:firstLine="482" w:firstLineChars="200"/>
        <w:rPr>
          <w:rFonts w:hint="default" w:ascii="仿宋" w:hAnsi="仿宋" w:eastAsia="仿宋" w:cs="仿宋"/>
          <w:b/>
          <w:bCs/>
          <w:color w:val="C00000"/>
          <w:sz w:val="24"/>
          <w:lang w:val="en-US" w:eastAsia="zh-CN"/>
        </w:rPr>
      </w:pPr>
      <w:r>
        <w:rPr>
          <w:rFonts w:hint="eastAsia" w:ascii="仿宋" w:hAnsi="仿宋" w:eastAsia="仿宋" w:cs="仿宋"/>
          <w:b/>
          <w:bCs/>
          <w:color w:val="C00000"/>
          <w:sz w:val="24"/>
          <w:lang w:val="en-US" w:eastAsia="zh-CN"/>
        </w:rPr>
        <w:t>讲座二、ProQuest Central综合学术期刊数据库</w:t>
      </w:r>
    </w:p>
    <w:p>
      <w:pPr>
        <w:tabs>
          <w:tab w:val="left" w:pos="1243"/>
        </w:tabs>
        <w:spacing w:line="360" w:lineRule="auto"/>
        <w:ind w:firstLine="482" w:firstLineChars="200"/>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 xml:space="preserve">主题：从选题到撰文，如何更好利用ProQuest Central综合学术期刊数据库—— 结合Web of Science等学术资源，速成信息利用达人 </w:t>
      </w:r>
    </w:p>
    <w:p>
      <w:pPr>
        <w:tabs>
          <w:tab w:val="left" w:pos="1243"/>
        </w:tabs>
        <w:spacing w:line="360" w:lineRule="auto"/>
        <w:ind w:firstLine="482" w:firstLineChars="200"/>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时间：4月11日（周四）下午4-5点</w:t>
      </w:r>
    </w:p>
    <w:p>
      <w:pPr>
        <w:tabs>
          <w:tab w:val="left" w:pos="1243"/>
        </w:tabs>
        <w:spacing w:line="360" w:lineRule="auto"/>
        <w:ind w:firstLine="482" w:firstLineChars="200"/>
        <w:rPr>
          <w:rFonts w:hint="default"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方式：</w:t>
      </w:r>
      <w:r>
        <w:rPr>
          <w:rFonts w:hint="eastAsia" w:ascii="仿宋" w:hAnsi="仿宋" w:eastAsia="仿宋" w:cs="仿宋"/>
          <w:b w:val="0"/>
          <w:bCs w:val="0"/>
          <w:color w:val="000000" w:themeColor="text1"/>
          <w:sz w:val="24"/>
          <w:lang w:val="en-US" w:eastAsia="zh-CN"/>
          <w14:textFill>
            <w14:solidFill>
              <w14:schemeClr w14:val="tx1"/>
            </w14:solidFill>
          </w14:textFill>
        </w:rPr>
        <w:t>线上培训</w:t>
      </w:r>
    </w:p>
    <w:p>
      <w:pPr>
        <w:tabs>
          <w:tab w:val="left" w:pos="1243"/>
        </w:tabs>
        <w:spacing w:line="360" w:lineRule="auto"/>
        <w:ind w:firstLine="482" w:firstLineChars="200"/>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腾讯会议号：730-708-321</w:t>
      </w:r>
    </w:p>
    <w:p>
      <w:pPr>
        <w:tabs>
          <w:tab w:val="left" w:pos="1243"/>
        </w:tabs>
        <w:spacing w:line="360" w:lineRule="auto"/>
        <w:ind w:firstLine="420" w:firstLineChars="200"/>
        <w:rPr>
          <w:rFonts w:ascii="华文楷体" w:hAnsi="华文楷体" w:eastAsia="华文楷体" w:cs="仿宋"/>
          <w:b/>
          <w:bCs/>
          <w:sz w:val="24"/>
        </w:rPr>
      </w:pPr>
      <w:r>
        <w:drawing>
          <wp:inline distT="0" distB="0" distL="114300" distR="114300">
            <wp:extent cx="2103120" cy="2103120"/>
            <wp:effectExtent l="0" t="0" r="11430" b="1143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2103120" cy="2103120"/>
                    </a:xfrm>
                    <a:prstGeom prst="rect">
                      <a:avLst/>
                    </a:prstGeom>
                    <a:noFill/>
                    <a:ln>
                      <a:noFill/>
                    </a:ln>
                  </pic:spPr>
                </pic:pic>
              </a:graphicData>
            </a:graphic>
          </wp:inline>
        </w:drawing>
      </w:r>
    </w:p>
    <w:p>
      <w:pPr>
        <w:tabs>
          <w:tab w:val="left" w:pos="1243"/>
        </w:tabs>
        <w:spacing w:line="360" w:lineRule="auto"/>
        <w:ind w:firstLine="482" w:firstLineChars="200"/>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主讲人：</w:t>
      </w:r>
      <w:r>
        <w:rPr>
          <w:rFonts w:hint="eastAsia" w:ascii="仿宋" w:hAnsi="仿宋" w:eastAsia="仿宋" w:cs="仿宋"/>
          <w:b w:val="0"/>
          <w:bCs w:val="0"/>
          <w:color w:val="000000" w:themeColor="text1"/>
          <w:sz w:val="24"/>
          <w:lang w:val="en-US" w:eastAsia="zh-CN"/>
          <w14:textFill>
            <w14:solidFill>
              <w14:schemeClr w14:val="tx1"/>
            </w14:solidFill>
          </w14:textFill>
        </w:rPr>
        <w:t>科睿唯安客户培训师王剑飞 （北京大学情报学硕士毕业，任职19年，已主讲2000多场讲座，涉及多种类型资源数据库/信息工具等）</w:t>
      </w:r>
    </w:p>
    <w:p>
      <w:pPr>
        <w:tabs>
          <w:tab w:val="left" w:pos="1243"/>
        </w:tabs>
        <w:spacing w:line="360" w:lineRule="auto"/>
        <w:ind w:firstLine="482" w:firstLineChars="200"/>
        <w:rPr>
          <w:rFonts w:hint="eastAsia"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 xml:space="preserve">讲座提纲： </w:t>
      </w:r>
    </w:p>
    <w:p>
      <w:pPr>
        <w:tabs>
          <w:tab w:val="left" w:pos="1243"/>
        </w:tabs>
        <w:spacing w:line="360" w:lineRule="auto"/>
        <w:ind w:firstLine="480" w:firstLineChars="200"/>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1.了解ProQuest Central数据库所收录学术资源及其优势</w:t>
      </w:r>
    </w:p>
    <w:p>
      <w:pPr>
        <w:tabs>
          <w:tab w:val="left" w:pos="1243"/>
        </w:tabs>
        <w:spacing w:line="360" w:lineRule="auto"/>
        <w:ind w:firstLine="480" w:firstLineChars="200"/>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2.结合Web of Science等学术资源，以教育学课题为例，如何在学习和研究过程中更好利用ProQuest Central数据库学术资源，让选题、检索、获取、保存、撰文变得更加轻松和高效</w:t>
      </w:r>
    </w:p>
    <w:p>
      <w:pPr>
        <w:tabs>
          <w:tab w:val="left" w:pos="1243"/>
        </w:tabs>
        <w:spacing w:line="360" w:lineRule="auto"/>
        <w:ind w:firstLine="480" w:firstLineChars="200"/>
        <w:rPr>
          <w:rFonts w:hint="eastAsia" w:ascii="仿宋" w:hAnsi="仿宋" w:eastAsia="仿宋" w:cs="仿宋"/>
          <w:b w:val="0"/>
          <w:bCs w:val="0"/>
          <w:color w:val="000000" w:themeColor="text1"/>
          <w:sz w:val="24"/>
          <w:lang w:val="en-US" w:eastAsia="zh-CN"/>
          <w14:textFill>
            <w14:solidFill>
              <w14:schemeClr w14:val="tx1"/>
            </w14:solidFill>
          </w14:textFill>
        </w:rPr>
      </w:pPr>
      <w:r>
        <w:rPr>
          <w:rFonts w:hint="eastAsia" w:ascii="仿宋" w:hAnsi="仿宋" w:eastAsia="仿宋" w:cs="仿宋"/>
          <w:b w:val="0"/>
          <w:bCs w:val="0"/>
          <w:color w:val="000000" w:themeColor="text1"/>
          <w:sz w:val="24"/>
          <w:lang w:val="en-US" w:eastAsia="zh-CN"/>
          <w14:textFill>
            <w14:solidFill>
              <w14:schemeClr w14:val="tx1"/>
            </w14:solidFill>
          </w14:textFill>
        </w:rPr>
        <w:t>ProQuest Central可访问全球数千出版机构的约2万种全文出版物，其中包括了全球商学、计算机、生物、医学、环境、化学、物理、工程、心理、教育、语言、政治、国际关系等领域核心期刊，比如： Journal of the Academy of Marketing Science、MIT Sloan Management Review、Supply Chain Management、Journal of International Business Studies、Nature、Lancet、NEJM、Environmental Chemistry Letters、Educational Psychology Review、Engineering Applications of Computational Fluid Mechanics、International Journal of Computer Vision、The Artificial Intelligence Review、Studies in Second Language Acquisition、Journal of Global History等，同时还可以访问到约30万篇全球博硕论文，以及研究报告、书、多媒体等众多类型学术资源。</w:t>
      </w:r>
    </w:p>
    <w:p>
      <w:pPr>
        <w:tabs>
          <w:tab w:val="left" w:pos="1243"/>
        </w:tabs>
        <w:spacing w:line="360" w:lineRule="auto"/>
        <w:ind w:firstLine="482" w:firstLineChars="200"/>
        <w:rPr>
          <w:rFonts w:hint="eastAsia" w:ascii="仿宋" w:hAnsi="仿宋" w:eastAsia="仿宋" w:cs="仿宋"/>
          <w:b/>
          <w:bCs/>
          <w:color w:val="C00000"/>
          <w:sz w:val="24"/>
          <w:lang w:val="en-US" w:eastAsia="zh-CN"/>
        </w:rPr>
      </w:pPr>
    </w:p>
    <w:p>
      <w:pPr>
        <w:tabs>
          <w:tab w:val="left" w:pos="1243"/>
        </w:tabs>
        <w:spacing w:line="360" w:lineRule="auto"/>
        <w:ind w:firstLine="482" w:firstLineChars="200"/>
        <w:rPr>
          <w:rFonts w:hint="default" w:ascii="仿宋" w:hAnsi="仿宋" w:eastAsia="仿宋" w:cs="仿宋"/>
          <w:b/>
          <w:bCs/>
          <w:color w:val="C00000"/>
          <w:sz w:val="24"/>
          <w:lang w:val="en-US" w:eastAsia="zh-CN"/>
        </w:rPr>
      </w:pPr>
      <w:r>
        <w:rPr>
          <w:rFonts w:hint="eastAsia" w:ascii="仿宋" w:hAnsi="仿宋" w:eastAsia="仿宋" w:cs="仿宋"/>
          <w:b/>
          <w:bCs/>
          <w:color w:val="C00000"/>
          <w:sz w:val="24"/>
          <w:lang w:val="en-US" w:eastAsia="zh-CN"/>
        </w:rPr>
        <w:t>讲座三、泛研全球科研项目整合检索系统</w:t>
      </w:r>
    </w:p>
    <w:p>
      <w:pPr>
        <w:tabs>
          <w:tab w:val="left" w:pos="1243"/>
        </w:tabs>
        <w:spacing w:line="360" w:lineRule="auto"/>
        <w:ind w:firstLine="482" w:firstLineChars="200"/>
        <w:rPr>
          <w:rFonts w:ascii="仿宋" w:hAnsi="仿宋" w:eastAsia="仿宋" w:cs="仿宋"/>
          <w:b/>
          <w:bCs/>
          <w:sz w:val="24"/>
        </w:rPr>
      </w:pPr>
      <w:r>
        <w:rPr>
          <w:rFonts w:hint="eastAsia" w:ascii="仿宋" w:hAnsi="仿宋" w:eastAsia="仿宋" w:cs="仿宋"/>
          <w:b/>
          <w:bCs/>
          <w:sz w:val="24"/>
        </w:rPr>
        <w:t>讲座主题：利用泛研平台助力基金申报</w:t>
      </w:r>
    </w:p>
    <w:p>
      <w:pPr>
        <w:tabs>
          <w:tab w:val="left" w:pos="1243"/>
        </w:tabs>
        <w:spacing w:line="360" w:lineRule="auto"/>
        <w:ind w:firstLine="482" w:firstLineChars="200"/>
        <w:rPr>
          <w:rFonts w:hint="default"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时间：</w:t>
      </w:r>
      <w:r>
        <w:rPr>
          <w:rFonts w:hint="eastAsia" w:ascii="仿宋" w:hAnsi="仿宋" w:eastAsia="仿宋" w:cs="仿宋"/>
          <w:b/>
          <w:bCs/>
          <w:color w:val="000000" w:themeColor="text1"/>
          <w:sz w:val="24"/>
          <w:lang w:val="en-US" w:eastAsia="zh-CN"/>
          <w14:textFill>
            <w14:solidFill>
              <w14:schemeClr w14:val="tx1"/>
            </w14:solidFill>
          </w14:textFill>
        </w:rPr>
        <w:t>4月17日下午2:30-3:00</w:t>
      </w:r>
    </w:p>
    <w:p>
      <w:pPr>
        <w:tabs>
          <w:tab w:val="left" w:pos="1243"/>
        </w:tabs>
        <w:spacing w:line="360" w:lineRule="auto"/>
        <w:ind w:firstLine="482" w:firstLineChars="200"/>
        <w:rPr>
          <w:rFonts w:hint="default" w:ascii="仿宋" w:hAnsi="仿宋" w:eastAsia="仿宋" w:cs="仿宋"/>
          <w:b/>
          <w:bCs/>
          <w:color w:val="000000" w:themeColor="text1"/>
          <w:sz w:val="24"/>
          <w:lang w:val="en-US" w:eastAsia="zh-CN"/>
          <w14:textFill>
            <w14:solidFill>
              <w14:schemeClr w14:val="tx1"/>
            </w14:solidFill>
          </w14:textFill>
        </w:rPr>
      </w:pPr>
      <w:r>
        <w:rPr>
          <w:rFonts w:hint="eastAsia" w:ascii="仿宋" w:hAnsi="仿宋" w:eastAsia="仿宋" w:cs="仿宋"/>
          <w:b/>
          <w:bCs/>
          <w:color w:val="000000" w:themeColor="text1"/>
          <w:sz w:val="24"/>
          <w:lang w:val="en-US" w:eastAsia="zh-CN"/>
          <w14:textFill>
            <w14:solidFill>
              <w14:schemeClr w14:val="tx1"/>
            </w14:solidFill>
          </w14:textFill>
        </w:rPr>
        <w:t>地点：滨湖校区图书馆二楼大厅</w:t>
      </w:r>
    </w:p>
    <w:p>
      <w:pPr>
        <w:tabs>
          <w:tab w:val="left" w:pos="1243"/>
        </w:tabs>
        <w:spacing w:line="360" w:lineRule="auto"/>
        <w:ind w:firstLine="482" w:firstLineChars="200"/>
        <w:rPr>
          <w:rFonts w:ascii="仿宋" w:hAnsi="仿宋" w:eastAsia="仿宋" w:cs="仿宋"/>
          <w:sz w:val="24"/>
        </w:rPr>
      </w:pPr>
      <w:r>
        <w:rPr>
          <w:rFonts w:hint="eastAsia" w:ascii="仿宋" w:hAnsi="仿宋" w:eastAsia="仿宋" w:cs="仿宋"/>
          <w:b/>
          <w:bCs/>
          <w:sz w:val="24"/>
        </w:rPr>
        <w:t>方式：</w:t>
      </w:r>
      <w:r>
        <w:rPr>
          <w:rFonts w:hint="eastAsia" w:ascii="仿宋" w:hAnsi="仿宋" w:eastAsia="仿宋" w:cs="仿宋"/>
          <w:sz w:val="24"/>
        </w:rPr>
        <w:t>线下培训</w:t>
      </w:r>
    </w:p>
    <w:p>
      <w:pPr>
        <w:tabs>
          <w:tab w:val="left" w:pos="1243"/>
        </w:tabs>
        <w:spacing w:line="360" w:lineRule="auto"/>
        <w:ind w:firstLine="482" w:firstLineChars="200"/>
        <w:rPr>
          <w:rFonts w:ascii="仿宋" w:hAnsi="仿宋" w:eastAsia="仿宋" w:cs="仿宋"/>
          <w:sz w:val="24"/>
        </w:rPr>
      </w:pPr>
      <w:r>
        <w:rPr>
          <w:rFonts w:hint="eastAsia" w:ascii="仿宋" w:hAnsi="仿宋" w:eastAsia="仿宋" w:cs="仿宋"/>
          <w:b/>
          <w:bCs/>
          <w:sz w:val="24"/>
        </w:rPr>
        <w:t>主讲人：</w:t>
      </w:r>
      <w:r>
        <w:rPr>
          <w:rFonts w:hint="eastAsia" w:ascii="仿宋" w:hAnsi="仿宋" w:eastAsia="仿宋" w:cs="仿宋"/>
          <w:sz w:val="24"/>
        </w:rPr>
        <w:t>王亚利，泛研库培训讲师，从2017年至今曾主持中国科学技术大学、合肥工业人大学、中国矿业大学、山东大学（威海校区）、烟台大学、徐州医科大学、福建医科大学、蚌埠医学院、安徽财经大学、淮北师范大学、安徽建筑大学（研究生院）、安徽工业大学、安徽工程大学、安庆师范大学、铜陵学院、池州学院、亳州学院、巢湖学院、安徽财贸职业技术学院等三十余所高校的线上、线下讲座培训。</w:t>
      </w:r>
    </w:p>
    <w:p>
      <w:pPr>
        <w:tabs>
          <w:tab w:val="left" w:pos="1243"/>
        </w:tabs>
        <w:spacing w:line="360" w:lineRule="auto"/>
        <w:ind w:firstLine="482" w:firstLineChars="200"/>
        <w:jc w:val="lef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讲座</w:t>
      </w:r>
      <w:r>
        <w:rPr>
          <w:rFonts w:hint="eastAsia" w:ascii="仿宋" w:hAnsi="仿宋" w:eastAsia="仿宋" w:cs="仿宋"/>
          <w:b/>
          <w:bCs/>
          <w:color w:val="000000" w:themeColor="text1"/>
          <w:sz w:val="24"/>
          <w:lang w:val="en-US" w:eastAsia="zh-CN"/>
          <w14:textFill>
            <w14:solidFill>
              <w14:schemeClr w14:val="tx1"/>
            </w14:solidFill>
          </w14:textFill>
        </w:rPr>
        <w:t>内容</w:t>
      </w:r>
      <w:r>
        <w:rPr>
          <w:rFonts w:hint="eastAsia" w:ascii="仿宋" w:hAnsi="仿宋" w:eastAsia="仿宋" w:cs="仿宋"/>
          <w:b/>
          <w:bCs/>
          <w:color w:val="000000" w:themeColor="text1"/>
          <w:sz w:val="24"/>
          <w14:textFill>
            <w14:solidFill>
              <w14:schemeClr w14:val="tx1"/>
            </w14:solidFill>
          </w14:textFill>
        </w:rPr>
        <w:t>：</w:t>
      </w:r>
    </w:p>
    <w:p>
      <w:pPr>
        <w:tabs>
          <w:tab w:val="left" w:pos="1243"/>
        </w:tabs>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rPr>
        <w:t>了解泛研全球科研项目数据库的优势，如何借助平台进行申报前的课题分析（历史、现状等）、综述撰写；通过不同关键词检索分析，更加详细的了解平台模块的功能及作用；通过项目信息获取更多的科研情报，用于分析欲申报课题的国内外已申报情况分析、历史情况分析、前沿性分析、热点问题追踪；泛研库的利用技巧，如何快速的获取正在申报的课题信息，各个省市、国际合作项目申报信息等；了解研究领域的大牛、大咖、主持的项目，从中获取相关的科研信息等</w:t>
      </w:r>
      <w:r>
        <w:rPr>
          <w:rFonts w:hint="eastAsia" w:ascii="仿宋" w:hAnsi="仿宋" w:eastAsia="仿宋" w:cs="仿宋"/>
          <w:sz w:val="24"/>
          <w:lang w:eastAsia="zh-CN"/>
        </w:rPr>
        <w:t>。</w:t>
      </w:r>
    </w:p>
    <w:p>
      <w:pPr>
        <w:tabs>
          <w:tab w:val="left" w:pos="1243"/>
        </w:tabs>
        <w:spacing w:line="360" w:lineRule="auto"/>
        <w:ind w:firstLine="482" w:firstLineChars="200"/>
        <w:rPr>
          <w:rFonts w:hint="eastAsia" w:ascii="仿宋" w:hAnsi="仿宋" w:eastAsia="仿宋" w:cs="仿宋"/>
          <w:b/>
          <w:bCs/>
          <w:color w:val="C00000"/>
          <w:sz w:val="24"/>
          <w:lang w:val="en-US" w:eastAsia="zh-CN"/>
        </w:rPr>
      </w:pPr>
    </w:p>
    <w:p>
      <w:pPr>
        <w:tabs>
          <w:tab w:val="left" w:pos="1243"/>
        </w:tabs>
        <w:spacing w:line="360" w:lineRule="auto"/>
        <w:ind w:firstLine="482" w:firstLineChars="200"/>
        <w:rPr>
          <w:rFonts w:hint="default" w:ascii="仿宋" w:hAnsi="仿宋" w:eastAsia="仿宋" w:cs="仿宋"/>
          <w:b/>
          <w:bCs/>
          <w:color w:val="C00000"/>
          <w:sz w:val="24"/>
          <w:lang w:val="en-US" w:eastAsia="zh-CN"/>
        </w:rPr>
      </w:pPr>
      <w:r>
        <w:rPr>
          <w:rFonts w:hint="eastAsia" w:ascii="仿宋" w:hAnsi="仿宋" w:eastAsia="仿宋" w:cs="仿宋"/>
          <w:b/>
          <w:bCs/>
          <w:color w:val="C00000"/>
          <w:sz w:val="24"/>
          <w:lang w:val="en-US" w:eastAsia="zh-CN"/>
        </w:rPr>
        <w:t>讲座四、银符考试题库</w:t>
      </w:r>
    </w:p>
    <w:p>
      <w:pPr>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讲座主题：考试的123件小事</w:t>
      </w:r>
    </w:p>
    <w:p>
      <w:pPr>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line="360" w:lineRule="auto"/>
        <w:ind w:firstLine="482" w:firstLineChars="200"/>
        <w:jc w:val="left"/>
        <w:textAlignment w:val="auto"/>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时 间</w:t>
      </w:r>
      <w:r>
        <w:rPr>
          <w:rFonts w:hint="eastAsia" w:ascii="仿宋" w:hAnsi="仿宋" w:eastAsia="仿宋" w:cs="仿宋"/>
          <w:color w:val="auto"/>
          <w:sz w:val="24"/>
          <w:szCs w:val="24"/>
          <w:lang w:val="en-US" w:eastAsia="zh-CN"/>
        </w:rPr>
        <w:t>：</w:t>
      </w:r>
      <w:r>
        <w:rPr>
          <w:rFonts w:hint="eastAsia" w:ascii="仿宋" w:hAnsi="仿宋" w:eastAsia="仿宋" w:cs="仿宋"/>
          <w:b/>
          <w:bCs/>
          <w:color w:val="auto"/>
          <w:sz w:val="24"/>
          <w:szCs w:val="24"/>
          <w:lang w:val="en-US" w:eastAsia="zh-CN"/>
        </w:rPr>
        <w:t>4月26日下午19:00-20:00</w:t>
      </w:r>
    </w:p>
    <w:p>
      <w:pPr>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方 式：</w:t>
      </w:r>
      <w:r>
        <w:rPr>
          <w:rFonts w:hint="eastAsia" w:ascii="仿宋" w:hAnsi="仿宋" w:eastAsia="仿宋" w:cs="仿宋"/>
          <w:color w:val="auto"/>
          <w:sz w:val="24"/>
          <w:szCs w:val="24"/>
          <w:lang w:val="en-US" w:eastAsia="zh-CN"/>
        </w:rPr>
        <w:t>线上培训</w:t>
      </w:r>
    </w:p>
    <w:p>
      <w:pPr>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主讲人：</w:t>
      </w:r>
      <w:r>
        <w:rPr>
          <w:rFonts w:hint="eastAsia" w:ascii="仿宋" w:hAnsi="仿宋" w:eastAsia="仿宋" w:cs="仿宋"/>
          <w:b w:val="0"/>
          <w:bCs w:val="0"/>
          <w:color w:val="auto"/>
          <w:sz w:val="24"/>
          <w:szCs w:val="24"/>
          <w:lang w:val="en-US" w:eastAsia="zh-CN"/>
        </w:rPr>
        <w:t>刘玉聪</w:t>
      </w:r>
    </w:p>
    <w:p>
      <w:pPr>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讲座内容：</w:t>
      </w:r>
    </w:p>
    <w:p>
      <w:pPr>
        <w:tabs>
          <w:tab w:val="left" w:pos="1243"/>
        </w:tabs>
        <w:spacing w:line="360" w:lineRule="auto"/>
        <w:ind w:firstLine="480" w:firstLineChars="200"/>
        <w:rPr>
          <w:rFonts w:hint="eastAsia" w:ascii="仿宋" w:hAnsi="仿宋" w:eastAsia="仿宋" w:cs="仿宋"/>
          <w:sz w:val="24"/>
        </w:rPr>
      </w:pPr>
      <w:r>
        <w:rPr>
          <w:rFonts w:hint="eastAsia" w:ascii="仿宋" w:hAnsi="仿宋" w:eastAsia="仿宋" w:cs="仿宋"/>
          <w:sz w:val="24"/>
        </w:rPr>
        <w:t>将从两个方面来阐述如何利用</w:t>
      </w:r>
      <w:r>
        <w:rPr>
          <w:rFonts w:hint="eastAsia" w:ascii="仿宋" w:hAnsi="仿宋" w:eastAsia="仿宋" w:cs="仿宋"/>
          <w:sz w:val="24"/>
          <w:lang w:val="en-US" w:eastAsia="zh-CN"/>
        </w:rPr>
        <w:t>银符考试题库</w:t>
      </w:r>
      <w:r>
        <w:rPr>
          <w:rFonts w:hint="eastAsia" w:ascii="仿宋" w:hAnsi="仿宋" w:eastAsia="仿宋" w:cs="仿宋"/>
          <w:sz w:val="24"/>
        </w:rPr>
        <w:t>查找所需的文献及数据支撑信息。一是对</w:t>
      </w:r>
      <w:r>
        <w:rPr>
          <w:rFonts w:hint="eastAsia" w:ascii="仿宋" w:hAnsi="仿宋" w:eastAsia="仿宋" w:cs="仿宋"/>
          <w:sz w:val="24"/>
          <w:lang w:val="en-US" w:eastAsia="zh-CN"/>
        </w:rPr>
        <w:t>银符考试题库</w:t>
      </w:r>
      <w:r>
        <w:rPr>
          <w:rFonts w:hint="eastAsia" w:ascii="仿宋" w:hAnsi="仿宋" w:eastAsia="仿宋" w:cs="仿宋"/>
          <w:sz w:val="24"/>
        </w:rPr>
        <w:t>及特色信息资源的简要介绍；二是通过实例演示如何利用</w:t>
      </w:r>
      <w:r>
        <w:rPr>
          <w:rFonts w:hint="eastAsia" w:ascii="仿宋" w:hAnsi="仿宋" w:eastAsia="仿宋" w:cs="仿宋"/>
          <w:sz w:val="24"/>
          <w:lang w:val="en-US" w:eastAsia="zh-CN"/>
        </w:rPr>
        <w:t>并进入银符考试题库</w:t>
      </w:r>
      <w:r>
        <w:rPr>
          <w:rFonts w:hint="eastAsia" w:ascii="仿宋" w:hAnsi="仿宋" w:eastAsia="仿宋" w:cs="仿宋"/>
          <w:sz w:val="24"/>
        </w:rPr>
        <w:t>查找相关资料。</w:t>
      </w:r>
    </w:p>
    <w:p>
      <w:pPr>
        <w:tabs>
          <w:tab w:val="left" w:pos="1243"/>
        </w:tabs>
        <w:spacing w:line="360" w:lineRule="auto"/>
        <w:ind w:firstLine="480" w:firstLineChars="200"/>
        <w:rPr>
          <w:rFonts w:hint="eastAsia" w:ascii="仿宋" w:hAnsi="仿宋" w:eastAsia="仿宋" w:cs="仿宋"/>
          <w:sz w:val="24"/>
        </w:rPr>
      </w:pPr>
      <w:r>
        <w:rPr>
          <w:rFonts w:hint="eastAsia" w:ascii="仿宋" w:hAnsi="仿宋" w:eastAsia="仿宋" w:cs="仿宋"/>
          <w:sz w:val="24"/>
        </w:rPr>
        <w:t>望广大师生踊跃参加！</w:t>
      </w:r>
      <w:bookmarkStart w:id="0" w:name="_GoBack"/>
      <w:bookmarkEnd w:id="0"/>
    </w:p>
    <w:p>
      <w:pPr>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适用对象</w:t>
      </w:r>
      <w:r>
        <w:rPr>
          <w:rFonts w:hint="eastAsia" w:ascii="仿宋" w:hAnsi="仿宋" w:eastAsia="仿宋" w:cs="仿宋"/>
          <w:color w:val="auto"/>
          <w:sz w:val="24"/>
          <w:szCs w:val="24"/>
          <w:lang w:val="en-US" w:eastAsia="zh-CN"/>
        </w:rPr>
        <w:t>：研究生、本科生</w:t>
      </w:r>
    </w:p>
    <w:p>
      <w:pPr>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color w:val="auto"/>
          <w:sz w:val="24"/>
          <w:szCs w:val="24"/>
          <w:lang w:val="en-US" w:eastAsia="zh-CN"/>
        </w:rPr>
      </w:pPr>
      <w:r>
        <w:rPr>
          <w:rFonts w:hint="eastAsia" w:ascii="仿宋" w:hAnsi="仿宋" w:eastAsia="仿宋" w:cs="仿宋"/>
          <w:b/>
          <w:bCs/>
          <w:color w:val="auto"/>
          <w:sz w:val="24"/>
          <w:szCs w:val="24"/>
          <w:lang w:val="en-US" w:eastAsia="zh-CN"/>
        </w:rPr>
        <w:t>参与方式</w:t>
      </w:r>
      <w:r>
        <w:rPr>
          <w:rFonts w:hint="eastAsia" w:ascii="仿宋" w:hAnsi="仿宋" w:eastAsia="仿宋" w:cs="仿宋"/>
          <w:color w:val="auto"/>
          <w:sz w:val="24"/>
          <w:szCs w:val="24"/>
          <w:lang w:val="en-US" w:eastAsia="zh-CN"/>
        </w:rPr>
        <w:t>：腾讯会议</w:t>
      </w:r>
    </w:p>
    <w:p>
      <w:pPr>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line="360" w:lineRule="auto"/>
        <w:ind w:firstLine="482" w:firstLineChars="200"/>
        <w:jc w:val="both"/>
        <w:textAlignment w:val="auto"/>
        <w:rPr>
          <w:rFonts w:hint="default" w:ascii="仿宋" w:hAnsi="仿宋" w:eastAsia="仿宋" w:cs="仿宋"/>
          <w:b/>
          <w:bCs/>
          <w:color w:val="auto"/>
          <w:sz w:val="24"/>
          <w:szCs w:val="24"/>
          <w:lang w:val="en-US" w:eastAsia="zh-CN"/>
        </w:rPr>
      </w:pPr>
      <w:r>
        <w:rPr>
          <w:rFonts w:hint="default" w:ascii="仿宋" w:hAnsi="仿宋" w:eastAsia="仿宋" w:cs="仿宋"/>
          <w:b/>
          <w:bCs/>
          <w:color w:val="auto"/>
          <w:sz w:val="24"/>
          <w:szCs w:val="24"/>
          <w:lang w:val="en-US" w:eastAsia="zh-CN"/>
        </w:rPr>
        <w:t>加入</w:t>
      </w:r>
      <w:r>
        <w:rPr>
          <w:rFonts w:hint="eastAsia" w:ascii="仿宋" w:hAnsi="仿宋" w:eastAsia="仿宋" w:cs="仿宋"/>
          <w:b/>
          <w:bCs/>
          <w:color w:val="auto"/>
          <w:sz w:val="24"/>
          <w:szCs w:val="24"/>
          <w:lang w:val="en-US" w:eastAsia="zh-CN"/>
        </w:rPr>
        <w:t>会议</w:t>
      </w:r>
      <w:r>
        <w:rPr>
          <w:rFonts w:hint="default" w:ascii="仿宋" w:hAnsi="仿宋" w:eastAsia="仿宋" w:cs="仿宋"/>
          <w:b/>
          <w:bCs/>
          <w:color w:val="auto"/>
          <w:sz w:val="24"/>
          <w:szCs w:val="24"/>
          <w:lang w:val="en-US" w:eastAsia="zh-CN"/>
        </w:rPr>
        <w:t>：</w:t>
      </w:r>
    </w:p>
    <w:p>
      <w:pPr>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line="360" w:lineRule="auto"/>
        <w:ind w:firstLine="482" w:firstLineChars="200"/>
        <w:jc w:val="center"/>
        <w:textAlignment w:val="auto"/>
        <w:rPr>
          <w:rFonts w:hint="default" w:ascii="仿宋" w:hAnsi="仿宋" w:eastAsia="仿宋" w:cs="仿宋"/>
          <w:b/>
          <w:bCs/>
          <w:color w:val="auto"/>
          <w:sz w:val="24"/>
          <w:szCs w:val="24"/>
          <w:lang w:val="en-US" w:eastAsia="zh-CN"/>
        </w:rPr>
      </w:pPr>
      <w:r>
        <w:rPr>
          <w:rFonts w:hint="default" w:ascii="仿宋" w:hAnsi="仿宋" w:eastAsia="仿宋" w:cs="仿宋"/>
          <w:b/>
          <w:bCs/>
          <w:color w:val="auto"/>
          <w:sz w:val="24"/>
          <w:szCs w:val="24"/>
          <w:lang w:val="en-US" w:eastAsia="zh-CN"/>
        </w:rPr>
        <w:drawing>
          <wp:inline distT="0" distB="0" distL="114300" distR="114300">
            <wp:extent cx="1464310" cy="1464310"/>
            <wp:effectExtent l="0" t="0" r="2540" b="2540"/>
            <wp:docPr id="2" name="图片 2" descr="0d231089fb9dcd0be920719f1d95e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d231089fb9dcd0be920719f1d95e2e"/>
                    <pic:cNvPicPr>
                      <a:picLocks noChangeAspect="1"/>
                    </pic:cNvPicPr>
                  </pic:nvPicPr>
                  <pic:blipFill>
                    <a:blip r:embed="rId6"/>
                    <a:stretch>
                      <a:fillRect/>
                    </a:stretch>
                  </pic:blipFill>
                  <pic:spPr>
                    <a:xfrm>
                      <a:off x="0" y="0"/>
                      <a:ext cx="1464310" cy="1464310"/>
                    </a:xfrm>
                    <a:prstGeom prst="rect">
                      <a:avLst/>
                    </a:prstGeom>
                  </pic:spPr>
                </pic:pic>
              </a:graphicData>
            </a:graphic>
          </wp:inline>
        </w:drawing>
      </w:r>
    </w:p>
    <w:p>
      <w:pPr>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line="360" w:lineRule="auto"/>
        <w:ind w:firstLine="482" w:firstLineChars="200"/>
        <w:jc w:val="center"/>
        <w:textAlignment w:val="auto"/>
        <w:rPr>
          <w:rFonts w:hint="default" w:ascii="仿宋" w:hAnsi="仿宋" w:eastAsia="仿宋" w:cs="仿宋"/>
          <w:b/>
          <w:bCs/>
          <w:color w:val="auto"/>
          <w:sz w:val="24"/>
          <w:szCs w:val="24"/>
          <w:lang w:val="en-US" w:eastAsia="zh-CN"/>
        </w:rPr>
      </w:pPr>
      <w:r>
        <w:rPr>
          <w:rFonts w:hint="default" w:ascii="仿宋" w:hAnsi="仿宋" w:eastAsia="仿宋" w:cs="仿宋"/>
          <w:b/>
          <w:bCs/>
          <w:color w:val="auto"/>
          <w:sz w:val="24"/>
          <w:szCs w:val="24"/>
          <w:lang w:val="en-US" w:eastAsia="zh-CN"/>
        </w:rPr>
        <w:t>#腾讯会议：629-493-325</w:t>
      </w:r>
    </w:p>
    <w:p>
      <w:pPr>
        <w:keepNext w:val="0"/>
        <w:keepLines w:val="0"/>
        <w:pageBreakBefore w:val="0"/>
        <w:widowControl w:val="0"/>
        <w:numPr>
          <w:ilvl w:val="0"/>
          <w:numId w:val="0"/>
        </w:numPr>
        <w:tabs>
          <w:tab w:val="left" w:pos="1243"/>
        </w:tabs>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val="0"/>
          <w:bCs w:val="0"/>
          <w:i w:val="0"/>
          <w:caps w:val="0"/>
          <w:color w:val="auto"/>
          <w:spacing w:val="0"/>
          <w:kern w:val="0"/>
          <w:sz w:val="24"/>
          <w:szCs w:val="24"/>
          <w:lang w:val="en-US" w:eastAsia="zh-CN" w:bidi="ar"/>
        </w:rPr>
      </w:pPr>
      <w:r>
        <w:rPr>
          <w:rFonts w:hint="eastAsia" w:ascii="仿宋" w:hAnsi="仿宋" w:eastAsia="仿宋" w:cs="仿宋"/>
          <w:b/>
          <w:bCs/>
          <w:color w:val="auto"/>
          <w:sz w:val="24"/>
          <w:szCs w:val="24"/>
          <w:lang w:val="en-US" w:eastAsia="zh-CN"/>
        </w:rPr>
        <w:t>数据库简介</w:t>
      </w:r>
      <w:r>
        <w:rPr>
          <w:rFonts w:hint="eastAsia" w:ascii="仿宋" w:hAnsi="仿宋" w:eastAsia="仿宋" w:cs="仿宋"/>
          <w:color w:val="auto"/>
          <w:sz w:val="24"/>
          <w:szCs w:val="24"/>
          <w:lang w:val="en-US" w:eastAsia="zh-CN"/>
        </w:rPr>
        <w:t>：银符考试题库是银符公司针对高校专门设计开发的新一代在线考试系统，共涵盖十一大考试专辑、300大类二级考试科目、900余种考试资源、24万余套试卷、1000余万道试题。本题库紧扣国家资格类考试大纲，考题全面综合了大量的模拟考题和历年真题，可以在线答题，在线评分、交卷后有答案解析，适合进行考前的模拟练习。</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4ZTg5MTkxMTc3YmU2NTdhN2EyYzk2MDBhZmE2NmEifQ=="/>
  </w:docVars>
  <w:rsids>
    <w:rsidRoot w:val="310E102B"/>
    <w:rsid w:val="04AB47A0"/>
    <w:rsid w:val="2437008C"/>
    <w:rsid w:val="30F321E4"/>
    <w:rsid w:val="310E102B"/>
    <w:rsid w:val="53E43315"/>
    <w:rsid w:val="56F65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2024-03-28T01:34:00Z</dcterms:created>
  <dc:creator>低调</dc:creator>
  <cp:lastModifiedBy>低调</cp:lastModifiedBy>
  <dcterms:modified xsi:type="dcterms:W3CDTF">2024-04-02T01:50:22Z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14C4A559471E4583B56776AC77647DED_11</vt:lpwstr>
  </property>
</Properties>
</file>